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0A0" w:firstRow="1" w:lastRow="0" w:firstColumn="1" w:lastColumn="0" w:noHBand="0" w:noVBand="0"/>
      </w:tblPr>
      <w:tblGrid>
        <w:gridCol w:w="3177"/>
        <w:gridCol w:w="1635"/>
        <w:gridCol w:w="1583"/>
        <w:gridCol w:w="3175"/>
      </w:tblGrid>
      <w:tr w:rsidR="007D523F" w:rsidRPr="00102CC0" w:rsidTr="008E24E2">
        <w:tc>
          <w:tcPr>
            <w:tcW w:w="5000" w:type="pct"/>
            <w:gridSpan w:val="4"/>
          </w:tcPr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br w:type="page"/>
            </w:r>
            <w:r w:rsidRPr="008E24E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</w:tc>
      </w:tr>
      <w:tr w:rsidR="007D523F" w:rsidRPr="00102CC0" w:rsidTr="008E24E2">
        <w:tc>
          <w:tcPr>
            <w:tcW w:w="5000" w:type="pct"/>
            <w:gridSpan w:val="4"/>
          </w:tcPr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</w:rPr>
            </w:pPr>
            <w:r w:rsidRPr="008E24E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7D523F" w:rsidRPr="00102CC0" w:rsidTr="008E24E2">
        <w:tc>
          <w:tcPr>
            <w:tcW w:w="5000" w:type="pct"/>
            <w:gridSpan w:val="4"/>
          </w:tcPr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</w:rPr>
            </w:pPr>
            <w:r w:rsidRPr="008E24E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</w:tc>
      </w:tr>
      <w:tr w:rsidR="007D523F" w:rsidRPr="00102CC0" w:rsidTr="008E24E2">
        <w:tc>
          <w:tcPr>
            <w:tcW w:w="5000" w:type="pct"/>
            <w:gridSpan w:val="4"/>
          </w:tcPr>
          <w:tbl>
            <w:tblPr>
              <w:tblW w:w="9345" w:type="dxa"/>
              <w:tblLook w:val="00A0" w:firstRow="1" w:lastRow="0" w:firstColumn="1" w:lastColumn="0" w:noHBand="0" w:noVBand="0"/>
            </w:tblPr>
            <w:tblGrid>
              <w:gridCol w:w="4672"/>
              <w:gridCol w:w="6"/>
              <w:gridCol w:w="4253"/>
              <w:gridCol w:w="414"/>
            </w:tblGrid>
            <w:tr w:rsidR="007D523F" w:rsidRPr="003F49BB" w:rsidTr="00B06561">
              <w:tc>
                <w:tcPr>
                  <w:tcW w:w="467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523F" w:rsidRDefault="007D523F" w:rsidP="00B06561">
                  <w:pPr>
                    <w:ind w:right="27"/>
                    <w:rPr>
                      <w:b/>
                      <w:bCs/>
                      <w:vertAlign w:val="superscript"/>
                    </w:rPr>
                  </w:pPr>
                </w:p>
                <w:p w:rsidR="007D523F" w:rsidRPr="00EE42D8" w:rsidRDefault="007D523F" w:rsidP="00B06561">
                  <w:pPr>
                    <w:ind w:right="27"/>
                    <w:rPr>
                      <w:b/>
                      <w:bCs/>
                      <w:vertAlign w:val="superscript"/>
                    </w:rPr>
                  </w:pPr>
                </w:p>
              </w:tc>
              <w:tc>
                <w:tcPr>
                  <w:tcW w:w="46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523F" w:rsidRPr="00EE42D8" w:rsidRDefault="007D523F" w:rsidP="00B06561">
                  <w:pPr>
                    <w:ind w:right="27"/>
                    <w:jc w:val="right"/>
                    <w:rPr>
                      <w:b/>
                      <w:bCs/>
                      <w:vertAlign w:val="superscript"/>
                    </w:rPr>
                  </w:pPr>
                </w:p>
              </w:tc>
            </w:tr>
            <w:tr w:rsidR="007D523F" w:rsidRPr="009B7C14" w:rsidTr="00B06561">
              <w:tblPrEx>
                <w:tblLook w:val="01E0" w:firstRow="1" w:lastRow="1" w:firstColumn="1" w:lastColumn="1" w:noHBand="0" w:noVBand="0"/>
              </w:tblPrEx>
              <w:trPr>
                <w:gridBefore w:val="2"/>
                <w:gridAfter w:val="1"/>
                <w:wBefore w:w="4678" w:type="dxa"/>
                <w:wAfter w:w="414" w:type="dxa"/>
              </w:trPr>
              <w:tc>
                <w:tcPr>
                  <w:tcW w:w="4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A259A" w:rsidRDefault="004A259A" w:rsidP="004A259A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УТВЕРЖДЕНО:                                                       </w:t>
                  </w:r>
                </w:p>
                <w:p w:rsidR="004A259A" w:rsidRDefault="004A259A" w:rsidP="004A259A">
                  <w:pPr>
                    <w:jc w:val="right"/>
                    <w:rPr>
                      <w:b/>
                      <w:bCs/>
                      <w:color w:val="FF0000"/>
                    </w:rPr>
                  </w:pPr>
                  <w:r>
                    <w:rPr>
                      <w:b/>
                      <w:bCs/>
                    </w:rPr>
                    <w:t xml:space="preserve">               Председатель УМС </w:t>
                  </w:r>
                </w:p>
                <w:p w:rsidR="004A259A" w:rsidRDefault="004A259A" w:rsidP="004A259A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Факультета искусств</w:t>
                  </w:r>
                </w:p>
                <w:p w:rsidR="004A259A" w:rsidRDefault="004A259A" w:rsidP="004A259A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М.Б. Гуров</w:t>
                  </w:r>
                </w:p>
                <w:p w:rsidR="007D523F" w:rsidRDefault="007D523F" w:rsidP="00B06561">
                  <w:pPr>
                    <w:ind w:right="27"/>
                    <w:jc w:val="right"/>
                    <w:rPr>
                      <w:b/>
                      <w:bCs/>
                      <w:sz w:val="32"/>
                      <w:szCs w:val="32"/>
                      <w:vertAlign w:val="superscript"/>
                    </w:rPr>
                  </w:pPr>
                </w:p>
              </w:tc>
            </w:tr>
          </w:tbl>
          <w:p w:rsidR="007D523F" w:rsidRDefault="007D523F" w:rsidP="00A42D85">
            <w:pPr>
              <w:rPr>
                <w:b/>
                <w:bCs/>
              </w:rPr>
            </w:pPr>
          </w:p>
          <w:p w:rsidR="007D523F" w:rsidRPr="008E24E2" w:rsidRDefault="007D523F" w:rsidP="00A42D85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D523F" w:rsidRPr="00102CC0" w:rsidTr="008E24E2">
        <w:tc>
          <w:tcPr>
            <w:tcW w:w="2514" w:type="pct"/>
            <w:gridSpan w:val="2"/>
          </w:tcPr>
          <w:p w:rsidR="007D523F" w:rsidRPr="008E24E2" w:rsidRDefault="007D523F" w:rsidP="008E24E2">
            <w:pPr>
              <w:spacing w:line="360" w:lineRule="auto"/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2486" w:type="pct"/>
            <w:gridSpan w:val="2"/>
          </w:tcPr>
          <w:p w:rsidR="007D523F" w:rsidRPr="008E24E2" w:rsidRDefault="007D523F" w:rsidP="008E24E2">
            <w:pPr>
              <w:spacing w:line="360" w:lineRule="auto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7D523F" w:rsidRPr="00102CC0" w:rsidTr="008E24E2">
        <w:tc>
          <w:tcPr>
            <w:tcW w:w="5000" w:type="pct"/>
            <w:gridSpan w:val="4"/>
          </w:tcPr>
          <w:p w:rsidR="007D523F" w:rsidRPr="008E24E2" w:rsidRDefault="007D523F" w:rsidP="008E24E2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D523F" w:rsidRPr="00102CC0" w:rsidTr="008E24E2">
        <w:tc>
          <w:tcPr>
            <w:tcW w:w="5000" w:type="pct"/>
            <w:gridSpan w:val="4"/>
          </w:tcPr>
          <w:p w:rsidR="007D523F" w:rsidRPr="008E24E2" w:rsidRDefault="007D523F" w:rsidP="008E24E2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D523F" w:rsidRPr="00102CC0" w:rsidTr="008E24E2">
        <w:tc>
          <w:tcPr>
            <w:tcW w:w="5000" w:type="pct"/>
            <w:gridSpan w:val="4"/>
          </w:tcPr>
          <w:p w:rsidR="007D523F" w:rsidRPr="008E24E2" w:rsidRDefault="007D523F" w:rsidP="008E24E2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D523F" w:rsidRPr="00102CC0" w:rsidTr="008E24E2">
        <w:trPr>
          <w:trHeight w:val="85"/>
        </w:trPr>
        <w:tc>
          <w:tcPr>
            <w:tcW w:w="5000" w:type="pct"/>
            <w:gridSpan w:val="4"/>
            <w:vAlign w:val="center"/>
          </w:tcPr>
          <w:p w:rsidR="007D523F" w:rsidRPr="008E24E2" w:rsidRDefault="007D523F" w:rsidP="008E24E2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</w:tr>
      <w:tr w:rsidR="007D523F" w:rsidRPr="00102CC0" w:rsidTr="008E24E2">
        <w:tc>
          <w:tcPr>
            <w:tcW w:w="5000" w:type="pct"/>
            <w:gridSpan w:val="4"/>
            <w:vAlign w:val="center"/>
          </w:tcPr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E24E2"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 w:rsidR="007D523F" w:rsidRPr="00102CC0" w:rsidTr="008E24E2">
        <w:tc>
          <w:tcPr>
            <w:tcW w:w="1660" w:type="pct"/>
            <w:vAlign w:val="center"/>
          </w:tcPr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81" w:type="pct"/>
            <w:gridSpan w:val="2"/>
            <w:vAlign w:val="center"/>
          </w:tcPr>
          <w:p w:rsidR="007D523F" w:rsidRPr="008E24E2" w:rsidRDefault="007D523F" w:rsidP="008E24E2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9" w:type="pct"/>
            <w:vAlign w:val="center"/>
          </w:tcPr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D523F" w:rsidRPr="00102CC0" w:rsidTr="008E24E2">
        <w:tc>
          <w:tcPr>
            <w:tcW w:w="5000" w:type="pct"/>
            <w:gridSpan w:val="4"/>
            <w:vAlign w:val="center"/>
          </w:tcPr>
          <w:p w:rsidR="007D523F" w:rsidRPr="008E24E2" w:rsidRDefault="007D523F" w:rsidP="00481FF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8E24E2">
              <w:rPr>
                <w:b/>
                <w:sz w:val="28"/>
                <w:szCs w:val="28"/>
                <w:lang w:eastAsia="en-US"/>
              </w:rPr>
              <w:t>Б1.0.06   ЕОРИЯ МУЗЫКАЛЬНОГО СОДЕРЖАНИЯ</w:t>
            </w:r>
          </w:p>
          <w:p w:rsidR="007D523F" w:rsidRPr="008E24E2" w:rsidRDefault="007D523F" w:rsidP="00AF7FA3">
            <w:pPr>
              <w:rPr>
                <w:b/>
                <w:sz w:val="28"/>
                <w:szCs w:val="28"/>
                <w:lang w:eastAsia="en-US"/>
              </w:rPr>
            </w:pPr>
          </w:p>
          <w:p w:rsidR="007D523F" w:rsidRPr="008E24E2" w:rsidRDefault="007D523F" w:rsidP="008E24E2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8E24E2">
              <w:rPr>
                <w:b/>
                <w:bCs/>
                <w:smallCaps/>
                <w:sz w:val="22"/>
                <w:szCs w:val="22"/>
                <w:lang w:eastAsia="zh-CN"/>
              </w:rPr>
              <w:t>\</w:t>
            </w:r>
          </w:p>
        </w:tc>
      </w:tr>
      <w:tr w:rsidR="007D523F" w:rsidRPr="00102CC0" w:rsidTr="008E24E2">
        <w:trPr>
          <w:trHeight w:val="565"/>
        </w:trPr>
        <w:tc>
          <w:tcPr>
            <w:tcW w:w="5000" w:type="pct"/>
            <w:gridSpan w:val="4"/>
            <w:vAlign w:val="center"/>
          </w:tcPr>
          <w:p w:rsidR="007D523F" w:rsidRPr="008E24E2" w:rsidRDefault="007D523F" w:rsidP="0098651B">
            <w:pPr>
              <w:rPr>
                <w:bCs/>
                <w:lang w:eastAsia="zh-CN"/>
              </w:rPr>
            </w:pPr>
          </w:p>
          <w:p w:rsidR="00E13E0A" w:rsidRDefault="007D523F" w:rsidP="00E13E0A">
            <w:pPr>
              <w:tabs>
                <w:tab w:val="right" w:leader="underscore" w:pos="850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E24E2">
              <w:rPr>
                <w:b/>
                <w:bCs/>
                <w:sz w:val="22"/>
                <w:szCs w:val="22"/>
              </w:rPr>
              <w:t xml:space="preserve">Направление подготовки: </w:t>
            </w:r>
          </w:p>
          <w:p w:rsidR="007D523F" w:rsidRPr="008E24E2" w:rsidRDefault="00E13E0A" w:rsidP="00E13E0A">
            <w:pPr>
              <w:tabs>
                <w:tab w:val="right" w:leader="underscore" w:pos="850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br/>
            </w:r>
            <w:r w:rsidR="007D523F" w:rsidRPr="008E24E2">
              <w:rPr>
                <w:b/>
                <w:bCs/>
                <w:sz w:val="22"/>
                <w:szCs w:val="22"/>
              </w:rPr>
              <w:t>53.04.06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7D523F" w:rsidRPr="008E24E2">
              <w:rPr>
                <w:b/>
                <w:bCs/>
                <w:sz w:val="22"/>
                <w:szCs w:val="22"/>
              </w:rPr>
              <w:t>«Музыкознание и музыкально-прикладное искусство»</w:t>
            </w:r>
          </w:p>
          <w:p w:rsidR="007D523F" w:rsidRPr="008E24E2" w:rsidRDefault="007D523F" w:rsidP="008E24E2">
            <w:pPr>
              <w:tabs>
                <w:tab w:val="right" w:leader="underscore" w:pos="8505"/>
              </w:tabs>
              <w:jc w:val="center"/>
              <w:rPr>
                <w:b/>
                <w:bCs/>
              </w:rPr>
            </w:pPr>
          </w:p>
          <w:p w:rsidR="007D523F" w:rsidRPr="008E24E2" w:rsidRDefault="007D523F" w:rsidP="008E24E2">
            <w:pPr>
              <w:tabs>
                <w:tab w:val="right" w:leader="underscore" w:pos="8505"/>
              </w:tabs>
              <w:jc w:val="center"/>
              <w:rPr>
                <w:b/>
                <w:bCs/>
              </w:rPr>
            </w:pPr>
            <w:r w:rsidRPr="008E24E2">
              <w:rPr>
                <w:b/>
                <w:bCs/>
                <w:sz w:val="22"/>
                <w:szCs w:val="22"/>
              </w:rPr>
              <w:t>Профиль подготовки: «Музыкальная педагогика»</w:t>
            </w:r>
          </w:p>
          <w:p w:rsidR="007D523F" w:rsidRPr="008E24E2" w:rsidRDefault="007D523F" w:rsidP="008E24E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D523F" w:rsidRPr="008E24E2" w:rsidRDefault="007D523F" w:rsidP="008E24E2">
            <w:pPr>
              <w:tabs>
                <w:tab w:val="right" w:leader="underscore" w:pos="8505"/>
              </w:tabs>
              <w:jc w:val="center"/>
              <w:rPr>
                <w:b/>
                <w:bCs/>
              </w:rPr>
            </w:pPr>
            <w:r w:rsidRPr="008E24E2">
              <w:rPr>
                <w:b/>
                <w:bCs/>
                <w:sz w:val="22"/>
                <w:szCs w:val="22"/>
              </w:rPr>
              <w:t xml:space="preserve">Квалификация  выпускника </w:t>
            </w:r>
            <w:r w:rsidRPr="008E24E2">
              <w:rPr>
                <w:b/>
                <w:sz w:val="22"/>
                <w:szCs w:val="22"/>
              </w:rPr>
              <w:t>Магистр</w:t>
            </w:r>
          </w:p>
          <w:p w:rsidR="007D523F" w:rsidRPr="008E24E2" w:rsidRDefault="007D523F" w:rsidP="008E24E2">
            <w:pPr>
              <w:tabs>
                <w:tab w:val="right" w:leader="underscore" w:pos="8505"/>
              </w:tabs>
              <w:jc w:val="center"/>
              <w:rPr>
                <w:bCs/>
              </w:rPr>
            </w:pPr>
          </w:p>
          <w:p w:rsidR="007D523F" w:rsidRPr="008E24E2" w:rsidRDefault="007D523F" w:rsidP="008E24E2">
            <w:pPr>
              <w:ind w:left="567"/>
              <w:jc w:val="center"/>
              <w:rPr>
                <w:b/>
                <w:bCs/>
                <w:lang w:eastAsia="zh-CN"/>
              </w:rPr>
            </w:pPr>
            <w:r w:rsidRPr="008E24E2">
              <w:rPr>
                <w:b/>
                <w:bCs/>
                <w:sz w:val="22"/>
                <w:szCs w:val="22"/>
                <w:lang w:eastAsia="zh-CN"/>
              </w:rPr>
              <w:t>Форма обучения: очная</w:t>
            </w:r>
          </w:p>
          <w:p w:rsidR="007D523F" w:rsidRPr="008E24E2" w:rsidRDefault="007D523F" w:rsidP="008E24E2">
            <w:pPr>
              <w:ind w:left="-142" w:firstLine="142"/>
              <w:jc w:val="center"/>
              <w:rPr>
                <w:b/>
                <w:bCs/>
                <w:vertAlign w:val="superscript"/>
                <w:lang w:eastAsia="zh-CN"/>
              </w:rPr>
            </w:pPr>
          </w:p>
          <w:p w:rsidR="007D523F" w:rsidRPr="008E24E2" w:rsidRDefault="007D523F" w:rsidP="008E24E2">
            <w:pPr>
              <w:ind w:left="-142" w:firstLine="142"/>
              <w:jc w:val="center"/>
              <w:rPr>
                <w:b/>
                <w:bCs/>
                <w:vertAlign w:val="superscript"/>
                <w:lang w:eastAsia="zh-CN"/>
              </w:rPr>
            </w:pPr>
          </w:p>
          <w:p w:rsidR="007D523F" w:rsidRPr="008E24E2" w:rsidRDefault="007D523F" w:rsidP="008E24E2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7D523F" w:rsidRPr="008E24E2" w:rsidRDefault="007D523F" w:rsidP="008E24E2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7D523F" w:rsidRPr="008E24E2" w:rsidRDefault="007D523F" w:rsidP="008E24E2">
            <w:pPr>
              <w:ind w:left="-142" w:firstLine="142"/>
              <w:jc w:val="center"/>
              <w:rPr>
                <w:b/>
                <w:bCs/>
                <w:lang w:eastAsia="zh-CN"/>
              </w:rPr>
            </w:pPr>
          </w:p>
          <w:p w:rsidR="007D523F" w:rsidRPr="008E24E2" w:rsidRDefault="007D523F" w:rsidP="0098651B">
            <w:pPr>
              <w:rPr>
                <w:b/>
                <w:bCs/>
                <w:lang w:eastAsia="zh-CN"/>
              </w:rPr>
            </w:pPr>
          </w:p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  <w:p w:rsidR="007D523F" w:rsidRPr="008E24E2" w:rsidRDefault="007D523F" w:rsidP="008E24E2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0" w:name="_Toc2959522"/>
      <w:r w:rsidRPr="00C331C2">
        <w:rPr>
          <w:rFonts w:ascii="Times New Roman" w:hAnsi="Times New Roman"/>
          <w:b/>
          <w:color w:val="auto"/>
        </w:rPr>
        <w:lastRenderedPageBreak/>
        <w:t>Введение</w:t>
      </w:r>
      <w:bookmarkEnd w:id="0"/>
    </w:p>
    <w:p w:rsidR="007D523F" w:rsidRPr="00102CC0" w:rsidRDefault="007D523F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7D523F" w:rsidRPr="00102CC0" w:rsidRDefault="007D523F" w:rsidP="00326D4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дисциплине  </w:t>
      </w:r>
      <w:r w:rsidRPr="00102CC0">
        <w:rPr>
          <w:b/>
        </w:rPr>
        <w:t>«</w:t>
      </w:r>
      <w:r>
        <w:rPr>
          <w:b/>
        </w:rPr>
        <w:t>Теория музыкального содержания»</w:t>
      </w:r>
      <w:r w:rsidRPr="00102CC0">
        <w:t xml:space="preserve">  является важнейшей частью образовательного процесса,  дидактическим средством развит</w:t>
      </w:r>
      <w:r>
        <w:t>ия готовности будущих магистров</w:t>
      </w:r>
      <w:r w:rsidRPr="00102CC0">
        <w:t xml:space="preserve"> к профессиональной деятельности, средством приобретения навыков и компетенций, соответствующих ФГОС ВО.  </w:t>
      </w:r>
    </w:p>
    <w:p w:rsidR="007D523F" w:rsidRPr="00102CC0" w:rsidRDefault="007D523F" w:rsidP="00326D4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 w:rsidRPr="00102CC0">
        <w:rPr>
          <w:b/>
        </w:rPr>
        <w:t>«</w:t>
      </w:r>
      <w:r>
        <w:rPr>
          <w:b/>
        </w:rPr>
        <w:t xml:space="preserve">Теория музыкального содержания» </w:t>
      </w:r>
      <w:r w:rsidRPr="00102CC0">
        <w:t xml:space="preserve"> определены соответствующей рабочей программой дисциплины</w:t>
      </w:r>
      <w:r>
        <w:t>.</w:t>
      </w:r>
      <w:r w:rsidRPr="00102CC0">
        <w:t xml:space="preserve"> </w:t>
      </w:r>
    </w:p>
    <w:p w:rsidR="007D523F" w:rsidRPr="00102CC0" w:rsidRDefault="007D523F" w:rsidP="00326D4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Программой подгото</w:t>
      </w:r>
      <w:r>
        <w:t>вки  магистров</w:t>
      </w:r>
      <w:r w:rsidRPr="00102CC0">
        <w:t xml:space="preserve"> предусмотрены: </w:t>
      </w:r>
    </w:p>
    <w:p w:rsidR="007D523F" w:rsidRPr="00102CC0" w:rsidRDefault="007D523F" w:rsidP="00326D4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лекционного типа</w:t>
      </w:r>
    </w:p>
    <w:p w:rsidR="007D523F" w:rsidRPr="00102CC0" w:rsidRDefault="007D523F" w:rsidP="00326D4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семинарского типа</w:t>
      </w:r>
    </w:p>
    <w:p w:rsidR="007D523F" w:rsidRPr="00102CC0" w:rsidRDefault="007D523F" w:rsidP="00A42D85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7D523F" w:rsidRPr="00102CC0" w:rsidRDefault="007D523F" w:rsidP="00A42D85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7D523F" w:rsidRPr="00A42D85" w:rsidRDefault="007D523F" w:rsidP="00A42D85">
      <w:pPr>
        <w:autoSpaceDE w:val="0"/>
        <w:autoSpaceDN w:val="0"/>
        <w:adjustRightInd w:val="0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7D523F" w:rsidRPr="00A42D85" w:rsidRDefault="007D523F" w:rsidP="00A42D85">
      <w:pPr>
        <w:jc w:val="both"/>
        <w:rPr>
          <w:szCs w:val="22"/>
          <w:lang w:eastAsia="en-US"/>
        </w:rPr>
      </w:pPr>
      <w:r w:rsidRPr="00A42D85">
        <w:rPr>
          <w:b/>
          <w:lang w:eastAsia="zh-CN"/>
        </w:rPr>
        <w:t xml:space="preserve">               Целью самостоятельной работы</w:t>
      </w:r>
      <w:r w:rsidRPr="00A42D85">
        <w:rPr>
          <w:lang w:eastAsia="zh-CN"/>
        </w:rPr>
        <w:t xml:space="preserve"> магистрантов является развитие личности магистранта, </w:t>
      </w:r>
      <w:r w:rsidRPr="00A42D85">
        <w:t xml:space="preserve">способного разбираться </w:t>
      </w:r>
      <w:r w:rsidRPr="00A42D85">
        <w:rPr>
          <w:szCs w:val="22"/>
          <w:lang w:eastAsia="en-US"/>
        </w:rPr>
        <w:t xml:space="preserve">  в области теории музыкального содержания и семиотики,   в области знаковой теории Ч. Пирза, </w:t>
      </w:r>
      <w:r w:rsidRPr="00A42D85">
        <w:t xml:space="preserve">в </w:t>
      </w:r>
      <w:r w:rsidRPr="00A42D85">
        <w:rPr>
          <w:color w:val="000000"/>
        </w:rPr>
        <w:t>исторической, искусствоведческой, научно-методической,  социологической литературе;</w:t>
      </w:r>
      <w:r w:rsidRPr="00A42D85">
        <w:rPr>
          <w:shd w:val="clear" w:color="auto" w:fill="FFFFFF"/>
          <w:lang w:eastAsia="en-US"/>
        </w:rPr>
        <w:t xml:space="preserve">   способного соотносить  теоретические позиции с художественной практикой;  преподавать данную дисциплину.</w:t>
      </w:r>
    </w:p>
    <w:p w:rsidR="007D523F" w:rsidRPr="00A42D85" w:rsidRDefault="007D523F" w:rsidP="00A42D85">
      <w:pPr>
        <w:jc w:val="both"/>
        <w:rPr>
          <w:lang w:eastAsia="zh-CN"/>
        </w:rPr>
      </w:pPr>
      <w:r w:rsidRPr="00A42D85">
        <w:rPr>
          <w:lang w:eastAsia="zh-CN"/>
        </w:rPr>
        <w:t xml:space="preserve">        Самостоятельная работа магистрантов по дисциплине «Теория музыкального содержания» обеспечивает: </w:t>
      </w:r>
    </w:p>
    <w:p w:rsidR="007D523F" w:rsidRPr="00A42D85" w:rsidRDefault="007D523F" w:rsidP="00A42D85">
      <w:pPr>
        <w:numPr>
          <w:ilvl w:val="0"/>
          <w:numId w:val="22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закрепление знаний, полученных магистрантами в процессе лекционных, семинарских аудиторных занятий;</w:t>
      </w:r>
    </w:p>
    <w:p w:rsidR="007D523F" w:rsidRPr="00D70446" w:rsidRDefault="007D523F" w:rsidP="00A42D85">
      <w:pPr>
        <w:numPr>
          <w:ilvl w:val="0"/>
          <w:numId w:val="22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работы с учебно-методической, научно-методической, музыковедческой</w:t>
      </w:r>
      <w:r w:rsidRPr="00D70446">
        <w:rPr>
          <w:lang w:eastAsia="zh-CN"/>
        </w:rPr>
        <w:t>, искусствоведческой литературой, научно-исследовательскими трудами, диссертационными исследованиями, справочной литературой, справочными материалами, нотными текстами музыкальных произведений</w:t>
      </w:r>
    </w:p>
    <w:p w:rsidR="007D523F" w:rsidRPr="00D70446" w:rsidRDefault="007D523F" w:rsidP="00A42D85">
      <w:pPr>
        <w:numPr>
          <w:ilvl w:val="0"/>
          <w:numId w:val="22"/>
        </w:numPr>
        <w:tabs>
          <w:tab w:val="left" w:pos="708"/>
        </w:tabs>
        <w:ind w:left="0"/>
        <w:jc w:val="both"/>
      </w:pPr>
      <w:r w:rsidRPr="00D70446">
        <w:rPr>
          <w:lang w:eastAsia="zh-CN"/>
        </w:rPr>
        <w:t xml:space="preserve">развитие в процессе регулярных и систематических самостоятельных занятий  навыков  </w:t>
      </w:r>
      <w:r w:rsidRPr="00D70446">
        <w:t xml:space="preserve"> анализа содержания музыкального произведения, состоящего из разнообразных знаков  интрамузыкальной и экстрамузыкальной природы </w:t>
      </w:r>
    </w:p>
    <w:p w:rsidR="007D523F" w:rsidRPr="00102CC0" w:rsidRDefault="007D523F" w:rsidP="00A42D85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>
        <w:t>обеспечивает подготовку магистра</w:t>
      </w:r>
      <w:r w:rsidRPr="00102CC0">
        <w:t xml:space="preserve"> к текущим аудиторным занятиям. Результаты этой подготовки пр</w:t>
      </w:r>
      <w:r>
        <w:t xml:space="preserve">оявляются в активности магистра </w:t>
      </w:r>
      <w:r w:rsidRPr="00102CC0">
        <w:t>на занятиях и качественном уровне представленных докладов, выполненных контрольных работ, тестовых заданий и других форм текущего кон</w:t>
      </w:r>
      <w:r>
        <w:t xml:space="preserve">троля. </w:t>
      </w:r>
    </w:p>
    <w:p w:rsidR="007D523F" w:rsidRDefault="007D523F" w:rsidP="00326D4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</w:t>
      </w:r>
      <w:r>
        <w:t>ие и закрепление знаний магистра</w:t>
      </w:r>
      <w:r w:rsidRPr="00102CC0">
        <w:t xml:space="preserve">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7D523F" w:rsidRPr="00102CC0" w:rsidRDefault="007D523F" w:rsidP="00326D4E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7D523F" w:rsidRDefault="007D523F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81FF5" w:rsidRDefault="00481FF5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81FF5" w:rsidRDefault="00481FF5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81FF5" w:rsidRDefault="00481FF5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1" w:name="_Toc2959523"/>
      <w:r w:rsidRPr="00C331C2">
        <w:rPr>
          <w:rFonts w:ascii="Times New Roman" w:hAnsi="Times New Roman"/>
          <w:b/>
          <w:color w:val="auto"/>
        </w:rPr>
        <w:lastRenderedPageBreak/>
        <w:t>Формы самостоятельной работы обучающихся</w:t>
      </w:r>
      <w:bookmarkEnd w:id="1"/>
    </w:p>
    <w:p w:rsidR="007D523F" w:rsidRPr="00102CC0" w:rsidRDefault="007D523F" w:rsidP="001C3ED9"/>
    <w:p w:rsidR="007D523F" w:rsidRPr="00102CC0" w:rsidRDefault="007D523F" w:rsidP="003B0C2A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Самостоятельная работа магистров</w:t>
      </w:r>
      <w:r w:rsidR="00E13E0A">
        <w:rPr>
          <w:b/>
          <w:bCs/>
        </w:rPr>
        <w:t xml:space="preserve"> по дисциплине </w:t>
      </w:r>
      <w:r w:rsidRPr="00102CC0">
        <w:rPr>
          <w:b/>
          <w:bCs/>
        </w:rPr>
        <w:t>«</w:t>
      </w:r>
      <w:r>
        <w:rPr>
          <w:b/>
          <w:bCs/>
        </w:rPr>
        <w:t>Проблемы современного музыкального исполнительства</w:t>
      </w:r>
      <w:r>
        <w:rPr>
          <w:b/>
        </w:rPr>
        <w:t>»</w:t>
      </w:r>
    </w:p>
    <w:p w:rsidR="007D523F" w:rsidRPr="00102CC0" w:rsidRDefault="007D523F" w:rsidP="003B0C2A">
      <w:pPr>
        <w:autoSpaceDE w:val="0"/>
        <w:autoSpaceDN w:val="0"/>
        <w:adjustRightInd w:val="0"/>
        <w:ind w:firstLine="567"/>
        <w:rPr>
          <w:b/>
          <w:bCs/>
        </w:rPr>
      </w:pPr>
      <w:r w:rsidRPr="00102CC0">
        <w:rPr>
          <w:b/>
          <w:bCs/>
        </w:rPr>
        <w:t xml:space="preserve"> </w:t>
      </w:r>
    </w:p>
    <w:p w:rsidR="007D523F" w:rsidRPr="00102CC0" w:rsidRDefault="007D523F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102CC0">
        <w:rPr>
          <w:b/>
          <w:bCs/>
          <w:iCs/>
        </w:rPr>
        <w:t>Таблица 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7"/>
      </w:tblGrid>
      <w:tr w:rsidR="007D523F" w:rsidRPr="00102CC0" w:rsidTr="00A42D85">
        <w:tc>
          <w:tcPr>
            <w:tcW w:w="634" w:type="dxa"/>
            <w:shd w:val="clear" w:color="auto" w:fill="D9D9D9"/>
          </w:tcPr>
          <w:p w:rsidR="007D523F" w:rsidRPr="00102CC0" w:rsidRDefault="007D523F" w:rsidP="00C31A2E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7D523F" w:rsidRPr="00102CC0" w:rsidRDefault="007D523F" w:rsidP="00C31A2E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п/п</w:t>
            </w:r>
          </w:p>
        </w:tc>
        <w:tc>
          <w:tcPr>
            <w:tcW w:w="3087" w:type="dxa"/>
            <w:shd w:val="clear" w:color="auto" w:fill="D9D9D9"/>
          </w:tcPr>
          <w:p w:rsidR="007D523F" w:rsidRPr="00102CC0" w:rsidRDefault="007D523F" w:rsidP="00C31A2E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7D523F" w:rsidRPr="00102CC0" w:rsidRDefault="007D523F" w:rsidP="00C31A2E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  <w:shd w:val="clear" w:color="auto" w:fill="D9D9D9"/>
          </w:tcPr>
          <w:p w:rsidR="007D523F" w:rsidRPr="00102CC0" w:rsidRDefault="007D523F" w:rsidP="00C31A2E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</w:tr>
      <w:tr w:rsidR="007D523F" w:rsidRPr="00102CC0" w:rsidTr="00A42D85">
        <w:trPr>
          <w:trHeight w:val="639"/>
        </w:trPr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  <w:tcBorders>
              <w:top w:val="thinThickSmallGap" w:sz="24" w:space="0" w:color="auto"/>
            </w:tcBorders>
          </w:tcPr>
          <w:p w:rsidR="007D523F" w:rsidRPr="00D70446" w:rsidRDefault="007D523F" w:rsidP="00D70446">
            <w:pPr>
              <w:jc w:val="both"/>
              <w:rPr>
                <w:bCs/>
              </w:rPr>
            </w:pPr>
            <w:r w:rsidRPr="00D70446">
              <w:rPr>
                <w:bCs/>
              </w:rPr>
              <w:t xml:space="preserve">Введение. Цель и задачи курса </w:t>
            </w:r>
          </w:p>
          <w:p w:rsidR="007D523F" w:rsidRPr="00D70446" w:rsidRDefault="007D523F" w:rsidP="00D70446">
            <w:pPr>
              <w:autoSpaceDE w:val="0"/>
              <w:autoSpaceDN w:val="0"/>
              <w:adjustRightInd w:val="0"/>
            </w:pPr>
            <w:r w:rsidRPr="00D70446">
              <w:t>Понятие «музыкальное содержание»</w:t>
            </w:r>
          </w:p>
          <w:p w:rsidR="007D523F" w:rsidRPr="00D70446" w:rsidRDefault="007D523F" w:rsidP="00D70446">
            <w:pPr>
              <w:tabs>
                <w:tab w:val="left" w:pos="708"/>
              </w:tabs>
              <w:jc w:val="both"/>
              <w:rPr>
                <w:bCs/>
              </w:rPr>
            </w:pPr>
            <w:r w:rsidRPr="00D70446">
              <w:t>Специальное и неспециальное музыкальное содержание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7D523F" w:rsidRPr="00102CC0" w:rsidTr="00A42D85">
        <w:trPr>
          <w:trHeight w:val="639"/>
        </w:trPr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autoSpaceDE w:val="0"/>
              <w:autoSpaceDN w:val="0"/>
              <w:adjustRightInd w:val="0"/>
            </w:pPr>
            <w:r w:rsidRPr="00D70446">
              <w:t>Проблема музыки как языка. Интонация в аспектах языка</w:t>
            </w:r>
          </w:p>
          <w:p w:rsidR="007D523F" w:rsidRPr="00D70446" w:rsidRDefault="007D523F" w:rsidP="00D70446">
            <w:pPr>
              <w:tabs>
                <w:tab w:val="left" w:pos="708"/>
              </w:tabs>
              <w:jc w:val="both"/>
            </w:pPr>
            <w:r w:rsidRPr="00D70446">
              <w:rPr>
                <w:lang w:val="en-US"/>
              </w:rPr>
              <w:t>и семиотики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autoSpaceDE w:val="0"/>
              <w:autoSpaceDN w:val="0"/>
              <w:adjustRightInd w:val="0"/>
            </w:pPr>
            <w:r w:rsidRPr="00D70446">
              <w:rPr>
                <w:b/>
              </w:rPr>
              <w:t>Семинар №1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tabs>
                <w:tab w:val="left" w:pos="708"/>
              </w:tabs>
              <w:jc w:val="both"/>
            </w:pPr>
            <w:r w:rsidRPr="00D70446">
              <w:t>Три стороны музыкального содержания. Эмоциональное содержание музыки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tabs>
                <w:tab w:val="left" w:pos="708"/>
              </w:tabs>
              <w:jc w:val="both"/>
            </w:pPr>
            <w:r w:rsidRPr="00D70446">
              <w:t>Изобразительное и символическое содержание музыки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экспресс-опросу.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tabs>
                <w:tab w:val="left" w:pos="708"/>
              </w:tabs>
              <w:jc w:val="both"/>
            </w:pPr>
            <w:r w:rsidRPr="00D70446">
              <w:rPr>
                <w:b/>
              </w:rPr>
              <w:t>Семинар № 2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 xml:space="preserve">Подготовка к участию в </w:t>
            </w:r>
            <w:r w:rsidRPr="00102CC0">
              <w:t>семинаре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рубежному контролю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autoSpaceDE w:val="0"/>
              <w:autoSpaceDN w:val="0"/>
              <w:adjustRightInd w:val="0"/>
            </w:pPr>
            <w:r w:rsidRPr="00D70446">
              <w:t>Иерархия уровней музыкального содержания.</w:t>
            </w:r>
          </w:p>
          <w:p w:rsidR="007D523F" w:rsidRPr="00D70446" w:rsidRDefault="007D523F" w:rsidP="00D70446">
            <w:pPr>
              <w:tabs>
                <w:tab w:val="left" w:pos="708"/>
              </w:tabs>
              <w:spacing w:line="276" w:lineRule="auto"/>
              <w:jc w:val="both"/>
              <w:rPr>
                <w:bCs/>
              </w:rPr>
            </w:pPr>
            <w:r w:rsidRPr="00D70446">
              <w:t>Содержание музыки в целом</w:t>
            </w:r>
            <w:r w:rsidRPr="00D70446">
              <w:rPr>
                <w:bCs/>
              </w:rPr>
              <w:t xml:space="preserve"> 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Default="007D523F" w:rsidP="00D7044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  <w:p w:rsidR="00E13E0A" w:rsidRPr="00102CC0" w:rsidRDefault="00E13E0A" w:rsidP="00E13E0A">
            <w:pPr>
              <w:pStyle w:val="a9"/>
              <w:shd w:val="clear" w:color="auto" w:fill="FFFFFF"/>
              <w:ind w:left="360"/>
            </w:pP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autoSpaceDE w:val="0"/>
              <w:autoSpaceDN w:val="0"/>
              <w:adjustRightInd w:val="0"/>
            </w:pPr>
            <w:r w:rsidRPr="00D70446">
              <w:t>Специфика музыкального содержания эпохи  барокко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tabs>
                <w:tab w:val="left" w:pos="708"/>
              </w:tabs>
              <w:jc w:val="both"/>
              <w:rPr>
                <w:bCs/>
              </w:rPr>
            </w:pPr>
            <w:r w:rsidRPr="00D70446">
              <w:t>Специфика содержания музыки венских классиков</w:t>
            </w:r>
            <w:r w:rsidRPr="00D70446">
              <w:rPr>
                <w:bCs/>
              </w:rPr>
              <w:t xml:space="preserve"> 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autoSpaceDE w:val="0"/>
              <w:autoSpaceDN w:val="0"/>
              <w:adjustRightInd w:val="0"/>
            </w:pPr>
            <w:r w:rsidRPr="00D70446">
              <w:t>Специфика содержания музыкального романтизма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autoSpaceDE w:val="0"/>
              <w:autoSpaceDN w:val="0"/>
              <w:adjustRightInd w:val="0"/>
            </w:pPr>
            <w:r w:rsidRPr="00D70446">
              <w:rPr>
                <w:b/>
                <w:bCs/>
              </w:rPr>
              <w:t>Семинар № 3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autoSpaceDE w:val="0"/>
              <w:autoSpaceDN w:val="0"/>
              <w:adjustRightInd w:val="0"/>
            </w:pPr>
            <w:r w:rsidRPr="00D70446">
              <w:t>Специфика музыкального содержания</w:t>
            </w:r>
          </w:p>
          <w:p w:rsidR="007D523F" w:rsidRPr="00D70446" w:rsidRDefault="007D523F" w:rsidP="00D70446">
            <w:pPr>
              <w:autoSpaceDE w:val="0"/>
              <w:autoSpaceDN w:val="0"/>
              <w:adjustRightInd w:val="0"/>
            </w:pPr>
            <w:r w:rsidRPr="00D70446">
              <w:t>эпохи культурной поляризации (ХХ век)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D70446" w:rsidRDefault="007D523F" w:rsidP="00D70446">
            <w:pPr>
              <w:tabs>
                <w:tab w:val="left" w:pos="708"/>
              </w:tabs>
              <w:jc w:val="both"/>
              <w:rPr>
                <w:b/>
              </w:rPr>
            </w:pPr>
            <w:r w:rsidRPr="00D70446">
              <w:rPr>
                <w:b/>
              </w:rPr>
              <w:t>4 семинар</w:t>
            </w:r>
          </w:p>
        </w:tc>
        <w:tc>
          <w:tcPr>
            <w:tcW w:w="5747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7D523F" w:rsidRPr="00102CC0" w:rsidRDefault="007D523F" w:rsidP="00D704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7D523F" w:rsidRPr="00102CC0" w:rsidTr="00A42D85">
        <w:tc>
          <w:tcPr>
            <w:tcW w:w="634" w:type="dxa"/>
          </w:tcPr>
          <w:p w:rsidR="007D523F" w:rsidRPr="00102CC0" w:rsidRDefault="007D523F" w:rsidP="00D7044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7D523F" w:rsidRPr="00467A2F" w:rsidRDefault="007D523F" w:rsidP="00D70446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47" w:type="dxa"/>
          </w:tcPr>
          <w:p w:rsidR="007D523F" w:rsidRPr="009C729C" w:rsidRDefault="007D523F" w:rsidP="00D70446">
            <w:pPr>
              <w:rPr>
                <w:iCs/>
              </w:rPr>
            </w:pPr>
          </w:p>
          <w:p w:rsidR="007D523F" w:rsidRPr="00102CC0" w:rsidRDefault="007D523F" w:rsidP="00D70446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к дифференцированному зачету</w:t>
            </w:r>
          </w:p>
        </w:tc>
      </w:tr>
    </w:tbl>
    <w:p w:rsidR="007D523F" w:rsidRPr="00102CC0" w:rsidRDefault="007D523F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7D523F" w:rsidRPr="00102CC0" w:rsidRDefault="007D523F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7D523F" w:rsidRPr="00C331C2" w:rsidRDefault="007D523F" w:rsidP="00A42D85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2" w:name="_Toc2959524"/>
      <w:r w:rsidRPr="00C331C2">
        <w:rPr>
          <w:rFonts w:ascii="Times New Roman" w:hAnsi="Times New Roman"/>
          <w:b/>
          <w:color w:val="auto"/>
        </w:rPr>
        <w:t>Рекомендации по организации самостоятельной работы обучающихся</w:t>
      </w:r>
      <w:bookmarkEnd w:id="2"/>
    </w:p>
    <w:p w:rsidR="007D523F" w:rsidRPr="00102CC0" w:rsidRDefault="007D523F" w:rsidP="003A7A09"/>
    <w:p w:rsidR="007D523F" w:rsidRPr="00102CC0" w:rsidRDefault="007D523F" w:rsidP="001C3ED9">
      <w:pPr>
        <w:pStyle w:val="2"/>
        <w:numPr>
          <w:ilvl w:val="1"/>
          <w:numId w:val="16"/>
        </w:numPr>
        <w:rPr>
          <w:rFonts w:ascii="Times New Roman" w:hAnsi="Times New Roman"/>
          <w:color w:val="auto"/>
        </w:rPr>
      </w:pPr>
      <w:bookmarkStart w:id="3" w:name="_Toc2959525"/>
      <w:r w:rsidRPr="00102CC0">
        <w:rPr>
          <w:rFonts w:ascii="Times New Roman" w:hAnsi="Times New Roman"/>
          <w:color w:val="auto"/>
        </w:rPr>
        <w:t>Общие рекомендации по организации самостоятельной работы обучающихся</w:t>
      </w:r>
      <w:bookmarkEnd w:id="3"/>
    </w:p>
    <w:p w:rsidR="007D523F" w:rsidRPr="00102CC0" w:rsidRDefault="007D523F" w:rsidP="000C56D4"/>
    <w:p w:rsidR="007D523F" w:rsidRPr="00102CC0" w:rsidRDefault="007D523F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>
        <w:rPr>
          <w:bCs/>
          <w:iCs/>
        </w:rPr>
        <w:t>самостоятельной работы магистров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D523F" w:rsidRPr="00102CC0" w:rsidRDefault="007D523F" w:rsidP="003B0C2A">
      <w:pPr>
        <w:ind w:firstLine="709"/>
        <w:jc w:val="both"/>
      </w:pPr>
      <w:r w:rsidRPr="00102CC0">
        <w:t xml:space="preserve">Процесс организации </w:t>
      </w:r>
      <w:r>
        <w:t>самостоятельной работы магистров</w:t>
      </w:r>
      <w:r w:rsidRPr="00102CC0">
        <w:t xml:space="preserve"> включает в себя следующие этапы: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D523F" w:rsidRPr="00102CC0" w:rsidRDefault="007D523F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lastRenderedPageBreak/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D523F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7D523F" w:rsidRPr="00A42D85" w:rsidRDefault="007D523F" w:rsidP="00A42D8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4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4"/>
      <w:r w:rsidRPr="00A42D85">
        <w:rPr>
          <w:rFonts w:ascii="Times New Roman" w:hAnsi="Times New Roman"/>
          <w:b/>
          <w:color w:val="auto"/>
        </w:rPr>
        <w:t>магистров</w:t>
      </w:r>
    </w:p>
    <w:p w:rsidR="007D523F" w:rsidRPr="00A42D85" w:rsidRDefault="007D523F" w:rsidP="00A42D85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5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5"/>
    </w:p>
    <w:p w:rsidR="007D523F" w:rsidRPr="00102CC0" w:rsidRDefault="007D523F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096"/>
        <w:gridCol w:w="6798"/>
      </w:tblGrid>
      <w:tr w:rsidR="007D523F" w:rsidRPr="00102CC0" w:rsidTr="008E24E2">
        <w:tc>
          <w:tcPr>
            <w:tcW w:w="562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№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п/п</w:t>
            </w:r>
          </w:p>
        </w:tc>
        <w:tc>
          <w:tcPr>
            <w:tcW w:w="2096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Методические рекомендации для студентов</w:t>
            </w:r>
          </w:p>
        </w:tc>
      </w:tr>
      <w:tr w:rsidR="007D523F" w:rsidRPr="00102CC0" w:rsidTr="008E24E2">
        <w:tc>
          <w:tcPr>
            <w:tcW w:w="562" w:type="dxa"/>
          </w:tcPr>
          <w:p w:rsidR="007D523F" w:rsidRPr="008E24E2" w:rsidRDefault="007D523F" w:rsidP="008E24E2">
            <w:pPr>
              <w:tabs>
                <w:tab w:val="num" w:pos="284"/>
              </w:tabs>
            </w:pPr>
            <w:r w:rsidRPr="008E24E2">
              <w:rPr>
                <w:sz w:val="22"/>
                <w:szCs w:val="22"/>
              </w:rPr>
              <w:t>1.</w:t>
            </w:r>
          </w:p>
        </w:tc>
        <w:tc>
          <w:tcPr>
            <w:tcW w:w="2096" w:type="dxa"/>
          </w:tcPr>
          <w:p w:rsidR="007D523F" w:rsidRPr="008E24E2" w:rsidRDefault="007D523F" w:rsidP="008E24E2">
            <w:pPr>
              <w:tabs>
                <w:tab w:val="num" w:pos="284"/>
              </w:tabs>
            </w:pPr>
            <w:r w:rsidRPr="008E24E2">
              <w:rPr>
                <w:sz w:val="22"/>
                <w:szCs w:val="22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Для подбора литературы в библиотеке используются алфавитный и систематический каталоги.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 xml:space="preserve">Особое внимание следует обратить на определение основных понятий курса. 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 xml:space="preserve">Полезно составлять опорные конспекты. 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 xml:space="preserve">Различают два вида чтения: первичное и вторичное. 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Основные виды систематизированной записи прочитанного: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 xml:space="preserve">Планирование – краткая логическая организация текста, </w:t>
            </w:r>
            <w:r w:rsidRPr="008E24E2">
              <w:rPr>
                <w:sz w:val="22"/>
                <w:szCs w:val="22"/>
              </w:rPr>
              <w:lastRenderedPageBreak/>
              <w:t>раскрывающая содержание и структуру изучаемого материала;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Методические рекомендации по составлению конспекта: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Выделите главное, составьте план;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D523F" w:rsidRPr="00102CC0" w:rsidTr="008E24E2">
        <w:tc>
          <w:tcPr>
            <w:tcW w:w="562" w:type="dxa"/>
          </w:tcPr>
          <w:p w:rsidR="007D523F" w:rsidRPr="008E24E2" w:rsidRDefault="007D523F" w:rsidP="008E24E2">
            <w:pPr>
              <w:tabs>
                <w:tab w:val="num" w:pos="284"/>
              </w:tabs>
            </w:pPr>
            <w:r w:rsidRPr="008E24E2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096" w:type="dxa"/>
          </w:tcPr>
          <w:p w:rsidR="007D523F" w:rsidRPr="008E24E2" w:rsidRDefault="007D523F" w:rsidP="008E24E2">
            <w:pPr>
              <w:tabs>
                <w:tab w:val="num" w:pos="284"/>
              </w:tabs>
            </w:pPr>
            <w:r>
              <w:rPr>
                <w:sz w:val="22"/>
                <w:szCs w:val="22"/>
              </w:rPr>
              <w:t>Подготовка к экспресс-</w:t>
            </w:r>
            <w:r w:rsidRPr="008E24E2">
              <w:rPr>
                <w:sz w:val="22"/>
                <w:szCs w:val="22"/>
              </w:rPr>
              <w:t xml:space="preserve">опросу </w:t>
            </w:r>
          </w:p>
        </w:tc>
        <w:tc>
          <w:tcPr>
            <w:tcW w:w="6798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Экспресс-опрос является формой текущего контроля успеваемости обучающихся,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>Подготовка к проведению экспресс-опроса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7D523F" w:rsidRPr="00102CC0" w:rsidTr="008E24E2">
        <w:tc>
          <w:tcPr>
            <w:tcW w:w="562" w:type="dxa"/>
          </w:tcPr>
          <w:p w:rsidR="007D523F" w:rsidRPr="008E24E2" w:rsidRDefault="007D523F" w:rsidP="008E24E2">
            <w:pPr>
              <w:tabs>
                <w:tab w:val="num" w:pos="284"/>
              </w:tabs>
            </w:pPr>
            <w:r w:rsidRPr="008E24E2">
              <w:rPr>
                <w:sz w:val="22"/>
                <w:szCs w:val="22"/>
              </w:rPr>
              <w:t>3.</w:t>
            </w:r>
          </w:p>
        </w:tc>
        <w:tc>
          <w:tcPr>
            <w:tcW w:w="2096" w:type="dxa"/>
          </w:tcPr>
          <w:p w:rsidR="007D523F" w:rsidRPr="008E24E2" w:rsidRDefault="007D523F" w:rsidP="008E24E2">
            <w:pPr>
              <w:tabs>
                <w:tab w:val="num" w:pos="284"/>
              </w:tabs>
            </w:pPr>
            <w:r w:rsidRPr="008E24E2">
              <w:rPr>
                <w:sz w:val="22"/>
                <w:szCs w:val="22"/>
              </w:rPr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  <w:r w:rsidRPr="008E24E2">
              <w:rPr>
                <w:sz w:val="22"/>
                <w:szCs w:val="22"/>
              </w:rPr>
              <w:t xml:space="preserve"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</w:t>
            </w:r>
            <w:r w:rsidRPr="008E24E2">
              <w:rPr>
                <w:sz w:val="22"/>
                <w:szCs w:val="22"/>
              </w:rPr>
              <w:lastRenderedPageBreak/>
              <w:t>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важен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7D523F" w:rsidRPr="00102CC0" w:rsidTr="008E24E2">
        <w:tc>
          <w:tcPr>
            <w:tcW w:w="562" w:type="dxa"/>
          </w:tcPr>
          <w:p w:rsidR="007D523F" w:rsidRPr="008E24E2" w:rsidRDefault="007D523F" w:rsidP="008E24E2">
            <w:pPr>
              <w:tabs>
                <w:tab w:val="num" w:pos="284"/>
              </w:tabs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096" w:type="dxa"/>
          </w:tcPr>
          <w:p w:rsidR="007D523F" w:rsidRPr="00E42500" w:rsidRDefault="007D523F" w:rsidP="00B06561">
            <w:pPr>
              <w:tabs>
                <w:tab w:val="num" w:pos="284"/>
              </w:tabs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798" w:type="dxa"/>
          </w:tcPr>
          <w:p w:rsidR="007D523F" w:rsidRPr="00E42500" w:rsidRDefault="007D523F" w:rsidP="00B06561">
            <w:pPr>
              <w:jc w:val="both"/>
            </w:pPr>
            <w:r w:rsidRPr="00E42500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7D523F" w:rsidRPr="00E42500" w:rsidRDefault="007D523F" w:rsidP="00B06561">
            <w:pPr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7D523F" w:rsidRPr="00E42500" w:rsidRDefault="007D523F" w:rsidP="00B06561">
            <w:pPr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7D523F" w:rsidRPr="00E42500" w:rsidRDefault="007D523F" w:rsidP="00B06561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7D523F" w:rsidRPr="00102CC0" w:rsidTr="008E24E2">
        <w:tc>
          <w:tcPr>
            <w:tcW w:w="562" w:type="dxa"/>
          </w:tcPr>
          <w:p w:rsidR="007D523F" w:rsidRPr="008E24E2" w:rsidRDefault="007D523F" w:rsidP="008E24E2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7D523F" w:rsidRPr="008E24E2" w:rsidRDefault="007D523F" w:rsidP="008E24E2">
            <w:pPr>
              <w:tabs>
                <w:tab w:val="num" w:pos="284"/>
              </w:tabs>
            </w:pPr>
            <w:r w:rsidRPr="008E24E2">
              <w:rPr>
                <w:sz w:val="22"/>
                <w:szCs w:val="22"/>
              </w:rPr>
              <w:t>Подготовка к промежуточной аттестации</w:t>
            </w:r>
          </w:p>
        </w:tc>
        <w:tc>
          <w:tcPr>
            <w:tcW w:w="6798" w:type="dxa"/>
          </w:tcPr>
          <w:p w:rsidR="007D523F" w:rsidRPr="008E24E2" w:rsidRDefault="007D523F" w:rsidP="0025294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t xml:space="preserve">Промежуточной аттестацией по дисциплине </w:t>
            </w:r>
            <w:r w:rsidRPr="0025294A">
              <w:rPr>
                <w:sz w:val="22"/>
                <w:szCs w:val="22"/>
              </w:rPr>
              <w:t>«</w:t>
            </w:r>
            <w:r w:rsidRPr="0025294A">
              <w:rPr>
                <w:bCs/>
                <w:sz w:val="22"/>
                <w:szCs w:val="22"/>
              </w:rPr>
              <w:t xml:space="preserve">Теория музыкального содержания» </w:t>
            </w:r>
            <w:r w:rsidRPr="0025294A">
              <w:rPr>
                <w:sz w:val="22"/>
                <w:szCs w:val="22"/>
              </w:rPr>
              <w:t>является дифференцированный зачет. Подготовка к промежуточной аттестации заключается</w:t>
            </w:r>
            <w:r w:rsidRPr="008E24E2">
              <w:rPr>
                <w:sz w:val="22"/>
                <w:szCs w:val="22"/>
              </w:rPr>
              <w:t xml:space="preserve">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7D523F" w:rsidRPr="008E24E2" w:rsidRDefault="007D523F" w:rsidP="008E24E2">
            <w:pPr>
              <w:jc w:val="both"/>
            </w:pPr>
            <w:r w:rsidRPr="008E24E2">
              <w:rPr>
                <w:sz w:val="22"/>
                <w:szCs w:val="22"/>
              </w:rPr>
              <w:t xml:space="preserve">Если в процессе самостоятельной  работы над изучением теоретического материала или при решении практических задач у </w:t>
            </w:r>
            <w:r w:rsidRPr="008E24E2">
              <w:rPr>
                <w:sz w:val="22"/>
                <w:szCs w:val="22"/>
              </w:rPr>
              <w:lastRenderedPageBreak/>
              <w:t>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7D523F" w:rsidRPr="008E24E2" w:rsidRDefault="007D523F" w:rsidP="008E24E2">
            <w:pPr>
              <w:tabs>
                <w:tab w:val="num" w:pos="284"/>
              </w:tabs>
              <w:jc w:val="both"/>
            </w:pPr>
          </w:p>
        </w:tc>
      </w:tr>
    </w:tbl>
    <w:p w:rsidR="007D523F" w:rsidRPr="00102CC0" w:rsidRDefault="007D523F" w:rsidP="000C56D4">
      <w:pPr>
        <w:ind w:firstLine="720"/>
        <w:jc w:val="center"/>
        <w:rPr>
          <w:b/>
        </w:rPr>
      </w:pPr>
    </w:p>
    <w:p w:rsidR="007D523F" w:rsidRPr="00102CC0" w:rsidRDefault="007D523F" w:rsidP="000C56D4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7D523F" w:rsidRPr="00102CC0" w:rsidRDefault="007D523F" w:rsidP="000C56D4">
      <w:pPr>
        <w:ind w:firstLine="720"/>
        <w:jc w:val="center"/>
        <w:rPr>
          <w:b/>
        </w:rPr>
      </w:pPr>
    </w:p>
    <w:p w:rsidR="007D523F" w:rsidRPr="00102CC0" w:rsidRDefault="007D523F" w:rsidP="000C56D4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7D523F" w:rsidRPr="00102CC0" w:rsidRDefault="007D523F" w:rsidP="000C56D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7D523F" w:rsidRPr="00102CC0" w:rsidRDefault="007D523F" w:rsidP="000C56D4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7D523F" w:rsidRPr="00102CC0" w:rsidRDefault="007D523F" w:rsidP="000C56D4">
      <w:pPr>
        <w:jc w:val="center"/>
      </w:pPr>
    </w:p>
    <w:p w:rsidR="007D523F" w:rsidRPr="00102CC0" w:rsidRDefault="007D523F" w:rsidP="000C56D4">
      <w:pPr>
        <w:jc w:val="center"/>
      </w:pPr>
      <w:r w:rsidRPr="00102CC0">
        <w:t>Самопроверка включает:</w:t>
      </w:r>
    </w:p>
    <w:p w:rsidR="007D523F" w:rsidRPr="00102CC0" w:rsidRDefault="007D523F" w:rsidP="00E13E0A">
      <w:pPr>
        <w:numPr>
          <w:ilvl w:val="1"/>
          <w:numId w:val="14"/>
        </w:numPr>
        <w:ind w:left="0"/>
        <w:contextualSpacing/>
        <w:jc w:val="both"/>
      </w:pPr>
      <w:r w:rsidRPr="00102CC0">
        <w:t>умение следить за собой: за своим поведением, речью, действиями</w:t>
      </w:r>
      <w:r w:rsidR="00E13E0A">
        <w:t xml:space="preserve"> </w:t>
      </w:r>
      <w:bookmarkStart w:id="6" w:name="_GoBack"/>
      <w:bookmarkEnd w:id="6"/>
      <w:r w:rsidRPr="00102CC0">
        <w:t>и поступками, понимая при этом всю меру ответственности за них;</w:t>
      </w:r>
    </w:p>
    <w:p w:rsidR="007D523F" w:rsidRPr="00102CC0" w:rsidRDefault="007D523F" w:rsidP="00E13E0A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7D523F" w:rsidRPr="00102CC0" w:rsidRDefault="007D523F" w:rsidP="00E13E0A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7D523F" w:rsidRPr="00102CC0" w:rsidRDefault="007D523F" w:rsidP="00E13E0A">
      <w:pPr>
        <w:jc w:val="both"/>
      </w:pPr>
      <w:r w:rsidRPr="00102CC0">
        <w:t xml:space="preserve">      Самоконтроль учит ценить свое время, вырабатывает дисциплину труда</w:t>
      </w:r>
    </w:p>
    <w:p w:rsidR="007D523F" w:rsidRPr="00102CC0" w:rsidRDefault="007D523F" w:rsidP="00E13E0A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7D523F" w:rsidRPr="00102CC0" w:rsidRDefault="007D523F" w:rsidP="00E13E0A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7D523F" w:rsidRPr="00102CC0" w:rsidRDefault="007D523F" w:rsidP="00E13E0A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перечитывание написанного текста и сравнение его с текстом учебной книги;</w:t>
      </w:r>
    </w:p>
    <w:p w:rsidR="007D523F" w:rsidRPr="00102CC0" w:rsidRDefault="007D523F" w:rsidP="00E13E0A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повторное перечитывание материала с продумыванием его по частям;</w:t>
      </w:r>
    </w:p>
    <w:p w:rsidR="007D523F" w:rsidRPr="00102CC0" w:rsidRDefault="007D523F" w:rsidP="00E13E0A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пересказ прочитанного;</w:t>
      </w:r>
    </w:p>
    <w:p w:rsidR="007D523F" w:rsidRPr="00102CC0" w:rsidRDefault="007D523F" w:rsidP="00E13E0A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7D523F" w:rsidRPr="00102CC0" w:rsidRDefault="007D523F" w:rsidP="00E13E0A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7D523F" w:rsidRPr="00102CC0" w:rsidRDefault="007D523F" w:rsidP="00E13E0A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7D523F" w:rsidRPr="00102CC0" w:rsidRDefault="007D523F" w:rsidP="00E13E0A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</w:t>
      </w:r>
      <w:r w:rsidR="00E13E0A">
        <w:t xml:space="preserve"> </w:t>
      </w:r>
      <w:r w:rsidRPr="00102CC0">
        <w:t>практических работ своих товарищей; дополнительные вопросы к их ответам; сочинения-рецензии и т.п.).</w:t>
      </w:r>
    </w:p>
    <w:p w:rsidR="007D523F" w:rsidRPr="00102CC0" w:rsidRDefault="007D523F" w:rsidP="000C56D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7D523F" w:rsidRPr="00102CC0" w:rsidRDefault="007D523F" w:rsidP="000C56D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7D523F" w:rsidRPr="00102CC0" w:rsidRDefault="007D523F" w:rsidP="000C56D4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</w:t>
      </w:r>
      <w:r w:rsidRPr="00102CC0">
        <w:lastRenderedPageBreak/>
        <w:t>способствует углублению их внимания, памяти и выступает как важный фактор развития познавательных способностей.</w:t>
      </w:r>
    </w:p>
    <w:p w:rsidR="007D523F" w:rsidRPr="00102CC0" w:rsidRDefault="007D523F" w:rsidP="000C56D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7D523F" w:rsidRPr="00102CC0" w:rsidRDefault="007D523F" w:rsidP="000C56D4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7D523F" w:rsidRPr="00102CC0" w:rsidRDefault="007D523F" w:rsidP="000C56D4">
      <w:pPr>
        <w:ind w:firstLine="720"/>
        <w:jc w:val="both"/>
        <w:rPr>
          <w:b/>
        </w:rPr>
      </w:pPr>
    </w:p>
    <w:p w:rsidR="007D523F" w:rsidRPr="00102CC0" w:rsidRDefault="007D523F" w:rsidP="003B0C2A">
      <w:pPr>
        <w:jc w:val="center"/>
        <w:rPr>
          <w:b/>
          <w:bCs/>
        </w:rPr>
      </w:pPr>
    </w:p>
    <w:p w:rsidR="007D523F" w:rsidRPr="00102CC0" w:rsidRDefault="007D523F" w:rsidP="003B0C2A">
      <w:pPr>
        <w:rPr>
          <w:rStyle w:val="5"/>
          <w:rFonts w:ascii="Times New Roman" w:hAnsi="Times New Roman" w:cs="Times New Roman"/>
          <w:b/>
        </w:rPr>
      </w:pP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Метод. рекомендации составлены</w:t>
      </w:r>
      <w:r w:rsidRPr="00B8537F">
        <w:rPr>
          <w:lang w:eastAsia="zh-CN"/>
        </w:rPr>
        <w:t xml:space="preserve"> в соответствии с требованиями ФГОС ВО </w:t>
      </w: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8537F">
        <w:rPr>
          <w:lang w:eastAsia="zh-CN"/>
        </w:rPr>
        <w:t>по направлению 53.03.06 «Музыкознание и музыкально-прикладное искусство»</w:t>
      </w: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8537F">
        <w:rPr>
          <w:lang w:eastAsia="zh-CN"/>
        </w:rPr>
        <w:t>профиль «М</w:t>
      </w:r>
      <w:r>
        <w:rPr>
          <w:lang w:eastAsia="zh-CN"/>
        </w:rPr>
        <w:t>узыкальная педагогика</w:t>
      </w:r>
      <w:r w:rsidRPr="00B8537F">
        <w:rPr>
          <w:lang w:eastAsia="zh-CN"/>
        </w:rPr>
        <w:t>»</w:t>
      </w: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8537F">
        <w:rPr>
          <w:lang w:eastAsia="zh-CN"/>
        </w:rPr>
        <w:t>Авто</w:t>
      </w:r>
      <w:r>
        <w:rPr>
          <w:lang w:eastAsia="zh-CN"/>
        </w:rPr>
        <w:t>р: кандидат педагогических наук, профессор, Сидорова М.Б.</w:t>
      </w:r>
    </w:p>
    <w:p w:rsidR="007D523F" w:rsidRPr="00B8537F" w:rsidRDefault="007D523F" w:rsidP="00B8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7D523F" w:rsidRPr="00B8537F" w:rsidRDefault="007D523F" w:rsidP="00B8537F"/>
    <w:p w:rsidR="007D523F" w:rsidRPr="00B8537F" w:rsidRDefault="007D523F" w:rsidP="00B8537F"/>
    <w:p w:rsidR="007D523F" w:rsidRPr="00102CC0" w:rsidRDefault="007D523F"/>
    <w:sectPr w:rsidR="007D523F" w:rsidRPr="00102CC0" w:rsidSect="008E6889"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EA4" w:rsidRDefault="00242EA4" w:rsidP="003B0C2A">
      <w:r>
        <w:separator/>
      </w:r>
    </w:p>
  </w:endnote>
  <w:endnote w:type="continuationSeparator" w:id="0">
    <w:p w:rsidR="00242EA4" w:rsidRDefault="00242EA4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23F" w:rsidRDefault="004A259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559F4">
      <w:rPr>
        <w:noProof/>
      </w:rPr>
      <w:t>9</w:t>
    </w:r>
    <w:r>
      <w:rPr>
        <w:noProof/>
      </w:rPr>
      <w:fldChar w:fldCharType="end"/>
    </w:r>
  </w:p>
  <w:p w:rsidR="007D523F" w:rsidRDefault="007D52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EA4" w:rsidRDefault="00242EA4" w:rsidP="003B0C2A">
      <w:r>
        <w:separator/>
      </w:r>
    </w:p>
  </w:footnote>
  <w:footnote w:type="continuationSeparator" w:id="0">
    <w:p w:rsidR="00242EA4" w:rsidRDefault="00242EA4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7"/>
  </w:num>
  <w:num w:numId="5">
    <w:abstractNumId w:val="0"/>
  </w:num>
  <w:num w:numId="6">
    <w:abstractNumId w:val="19"/>
  </w:num>
  <w:num w:numId="7">
    <w:abstractNumId w:val="20"/>
  </w:num>
  <w:num w:numId="8">
    <w:abstractNumId w:val="1"/>
  </w:num>
  <w:num w:numId="9">
    <w:abstractNumId w:val="15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2"/>
  </w:num>
  <w:num w:numId="15">
    <w:abstractNumId w:val="21"/>
  </w:num>
  <w:num w:numId="16">
    <w:abstractNumId w:val="2"/>
  </w:num>
  <w:num w:numId="17">
    <w:abstractNumId w:val="9"/>
  </w:num>
  <w:num w:numId="18">
    <w:abstractNumId w:val="10"/>
  </w:num>
  <w:num w:numId="19">
    <w:abstractNumId w:val="11"/>
  </w:num>
  <w:num w:numId="20">
    <w:abstractNumId w:val="17"/>
  </w:num>
  <w:num w:numId="21">
    <w:abstractNumId w:val="1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C2A"/>
    <w:rsid w:val="00031016"/>
    <w:rsid w:val="00040EEC"/>
    <w:rsid w:val="000C56D4"/>
    <w:rsid w:val="00102CC0"/>
    <w:rsid w:val="00153C78"/>
    <w:rsid w:val="001C3ED9"/>
    <w:rsid w:val="00235905"/>
    <w:rsid w:val="00242EA4"/>
    <w:rsid w:val="002516C6"/>
    <w:rsid w:val="0025294A"/>
    <w:rsid w:val="002C0125"/>
    <w:rsid w:val="002E5FAF"/>
    <w:rsid w:val="00326D4E"/>
    <w:rsid w:val="00336A06"/>
    <w:rsid w:val="00394492"/>
    <w:rsid w:val="003A7A09"/>
    <w:rsid w:val="003B0C2A"/>
    <w:rsid w:val="003F49BB"/>
    <w:rsid w:val="004054B9"/>
    <w:rsid w:val="00460765"/>
    <w:rsid w:val="00467A2F"/>
    <w:rsid w:val="00481FF5"/>
    <w:rsid w:val="004A259A"/>
    <w:rsid w:val="004A57E2"/>
    <w:rsid w:val="004B2F59"/>
    <w:rsid w:val="005A15AE"/>
    <w:rsid w:val="005B5904"/>
    <w:rsid w:val="005E0E0E"/>
    <w:rsid w:val="005F466E"/>
    <w:rsid w:val="00642025"/>
    <w:rsid w:val="00666585"/>
    <w:rsid w:val="006A4A93"/>
    <w:rsid w:val="00730FB0"/>
    <w:rsid w:val="00774E58"/>
    <w:rsid w:val="00797DD0"/>
    <w:rsid w:val="007A6315"/>
    <w:rsid w:val="007C5773"/>
    <w:rsid w:val="007D523F"/>
    <w:rsid w:val="007F47BB"/>
    <w:rsid w:val="007F6F16"/>
    <w:rsid w:val="008140CD"/>
    <w:rsid w:val="00825432"/>
    <w:rsid w:val="00873AE2"/>
    <w:rsid w:val="00892F6F"/>
    <w:rsid w:val="008A25FC"/>
    <w:rsid w:val="008E24E2"/>
    <w:rsid w:val="008E5879"/>
    <w:rsid w:val="008E6889"/>
    <w:rsid w:val="00903F8B"/>
    <w:rsid w:val="0093026E"/>
    <w:rsid w:val="00984626"/>
    <w:rsid w:val="0098651B"/>
    <w:rsid w:val="009A5EF1"/>
    <w:rsid w:val="009B0615"/>
    <w:rsid w:val="009B7C14"/>
    <w:rsid w:val="009C729C"/>
    <w:rsid w:val="00A3162E"/>
    <w:rsid w:val="00A42D85"/>
    <w:rsid w:val="00A91D8E"/>
    <w:rsid w:val="00AF2F4E"/>
    <w:rsid w:val="00AF7FA3"/>
    <w:rsid w:val="00B006BF"/>
    <w:rsid w:val="00B05669"/>
    <w:rsid w:val="00B06561"/>
    <w:rsid w:val="00B17CDA"/>
    <w:rsid w:val="00B2516B"/>
    <w:rsid w:val="00B8537F"/>
    <w:rsid w:val="00BB153D"/>
    <w:rsid w:val="00BE4C4C"/>
    <w:rsid w:val="00C31A2E"/>
    <w:rsid w:val="00C331C2"/>
    <w:rsid w:val="00C81E55"/>
    <w:rsid w:val="00D70446"/>
    <w:rsid w:val="00D97CF4"/>
    <w:rsid w:val="00DA555E"/>
    <w:rsid w:val="00E13E0A"/>
    <w:rsid w:val="00E21B65"/>
    <w:rsid w:val="00E42500"/>
    <w:rsid w:val="00E559F4"/>
    <w:rsid w:val="00ED312A"/>
    <w:rsid w:val="00EE10C3"/>
    <w:rsid w:val="00EE42D8"/>
    <w:rsid w:val="00F0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5BDB43"/>
  <w15:docId w15:val="{257E8BF7-A573-4C2D-8DB2-660CA8C6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0C2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0C2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0C2A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B0C2A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5">
    <w:name w:val="Основной текст (5)"/>
    <w:uiPriority w:val="99"/>
    <w:rsid w:val="003B0C2A"/>
    <w:rPr>
      <w:rFonts w:ascii="Calibri" w:eastAsia="Times New Roman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3">
    <w:name w:val="header"/>
    <w:basedOn w:val="a"/>
    <w:link w:val="a4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"/>
    <w:next w:val="a"/>
    <w:uiPriority w:val="99"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99"/>
    <w:rsid w:val="003B0C2A"/>
    <w:pPr>
      <w:spacing w:after="100"/>
      <w:ind w:left="240"/>
    </w:pPr>
  </w:style>
  <w:style w:type="character" w:styleId="a8">
    <w:name w:val="Hyperlink"/>
    <w:uiPriority w:val="99"/>
    <w:rsid w:val="003B0C2A"/>
    <w:rPr>
      <w:rFonts w:cs="Times New Roman"/>
      <w:color w:val="0563C1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99"/>
    <w:rsid w:val="00DA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E6889"/>
    <w:rPr>
      <w:rFonts w:ascii="Tahoma" w:hAnsi="Tahoma" w:cs="Tahoma"/>
      <w:sz w:val="16"/>
      <w:szCs w:val="16"/>
      <w:lang w:eastAsia="ru-RU"/>
    </w:rPr>
  </w:style>
  <w:style w:type="character" w:customStyle="1" w:styleId="butback">
    <w:name w:val="butback"/>
    <w:uiPriority w:val="99"/>
    <w:rsid w:val="004A57E2"/>
    <w:rPr>
      <w:rFonts w:cs="Times New Roman"/>
    </w:rPr>
  </w:style>
  <w:style w:type="character" w:customStyle="1" w:styleId="submenu-table">
    <w:name w:val="submenu-table"/>
    <w:uiPriority w:val="99"/>
    <w:rsid w:val="004A57E2"/>
    <w:rPr>
      <w:rFonts w:cs="Times New Roman"/>
    </w:rPr>
  </w:style>
  <w:style w:type="paragraph" w:styleId="ad">
    <w:name w:val="Normal (Web)"/>
    <w:basedOn w:val="a"/>
    <w:uiPriority w:val="99"/>
    <w:semiHidden/>
    <w:rsid w:val="000C56D4"/>
    <w:pPr>
      <w:spacing w:before="100" w:beforeAutospacing="1" w:after="100" w:afterAutospacing="1"/>
    </w:pPr>
  </w:style>
  <w:style w:type="character" w:styleId="ae">
    <w:name w:val="Strong"/>
    <w:uiPriority w:val="99"/>
    <w:qFormat/>
    <w:rsid w:val="000C56D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3007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20107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Елена Сергеевна Сахарчук</dc:creator>
  <cp:lastModifiedBy>Ульяна Игоревна Железняк</cp:lastModifiedBy>
  <cp:revision>4</cp:revision>
  <dcterms:created xsi:type="dcterms:W3CDTF">2022-08-28T19:34:00Z</dcterms:created>
  <dcterms:modified xsi:type="dcterms:W3CDTF">2022-09-06T07:39:00Z</dcterms:modified>
</cp:coreProperties>
</file>